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sz w:val="24"/>
          <w:lang w:val="en-US" w:eastAsia="zh-CN"/>
        </w:rPr>
      </w:pPr>
      <w:r>
        <w:rPr>
          <w:b/>
          <w:sz w:val="24"/>
        </w:rPr>
        <w:t>3GPP TSG-</w:t>
      </w:r>
      <w:r>
        <w:fldChar w:fldCharType="begin"/>
      </w:r>
      <w:r>
        <w:instrText xml:space="preserve"> DOCPROPERTY  TSG/WGRef  \* MERGEFORMAT </w:instrText>
      </w:r>
      <w:r>
        <w:fldChar w:fldCharType="separate"/>
      </w:r>
      <w:r>
        <w:rPr>
          <w:b/>
          <w:sz w:val="24"/>
        </w:rPr>
        <w:t>RAN WG1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98</w:t>
      </w:r>
      <w:r>
        <w:rPr>
          <w:b/>
          <w:sz w:val="24"/>
        </w:rPr>
        <w:fldChar w:fldCharType="end"/>
      </w:r>
      <w:r>
        <w:rPr>
          <w:rFonts w:hint="eastAsia"/>
          <w:b/>
          <w:sz w:val="24"/>
          <w:lang w:val="en-US" w:eastAsia="zh-CN"/>
        </w:rPr>
        <w:t>bis                                                          R1-1910361</w:t>
      </w:r>
    </w:p>
    <w:p>
      <w:pPr>
        <w:bidi w:val="0"/>
        <w:rPr>
          <w:rFonts w:ascii="Arial" w:hAnsi="Arial" w:eastAsia="MS Mincho" w:cs="Arial"/>
          <w:b/>
          <w:bCs/>
          <w:sz w:val="24"/>
          <w:szCs w:val="24"/>
          <w:lang w:eastAsia="ja-JP"/>
        </w:rPr>
      </w:pPr>
      <w:r>
        <w:rPr>
          <w:rFonts w:ascii="Arial" w:hAnsi="Arial" w:eastAsia="MS Mincho" w:cs="Arial"/>
          <w:b/>
          <w:bCs/>
          <w:sz w:val="24"/>
          <w:szCs w:val="24"/>
          <w:lang w:eastAsia="ja-JP"/>
        </w:rPr>
        <w:t>Chongqing, China, October 14</w:t>
      </w:r>
      <w:r>
        <w:rPr>
          <w:rFonts w:ascii="Arial" w:hAnsi="Arial" w:eastAsia="MS Mincho" w:cs="Arial"/>
          <w:b/>
          <w:bCs/>
          <w:sz w:val="24"/>
          <w:szCs w:val="24"/>
          <w:vertAlign w:val="superscript"/>
          <w:lang w:eastAsia="ja-JP"/>
        </w:rPr>
        <w:t>th</w:t>
      </w:r>
      <w:r>
        <w:rPr>
          <w:rFonts w:ascii="Arial" w:hAnsi="Arial" w:eastAsia="MS Mincho" w:cs="Arial"/>
          <w:b/>
          <w:bCs/>
          <w:sz w:val="24"/>
          <w:szCs w:val="24"/>
          <w:lang w:eastAsia="ja-JP"/>
        </w:rPr>
        <w:t xml:space="preserve"> – 20</w:t>
      </w:r>
      <w:r>
        <w:rPr>
          <w:rFonts w:ascii="Arial" w:hAnsi="Arial" w:eastAsia="MS Mincho" w:cs="Arial"/>
          <w:b/>
          <w:bCs/>
          <w:sz w:val="24"/>
          <w:szCs w:val="24"/>
          <w:vertAlign w:val="superscript"/>
          <w:lang w:eastAsia="ja-JP"/>
        </w:rPr>
        <w:t>th</w:t>
      </w:r>
      <w:r>
        <w:rPr>
          <w:rFonts w:ascii="Arial" w:hAnsi="Arial" w:eastAsia="MS Mincho" w:cs="Arial"/>
          <w:b/>
          <w:bCs/>
          <w:sz w:val="24"/>
          <w:szCs w:val="24"/>
          <w:lang w:eastAsia="ja-JP"/>
        </w:rPr>
        <w:t>, 2019</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Theme="minorEastAsia"/>
                <w:b/>
                <w:sz w:val="28"/>
                <w:lang w:val="en-US" w:eastAsia="zh-CN"/>
              </w:rPr>
            </w:pPr>
            <w:r>
              <w:fldChar w:fldCharType="begin"/>
            </w:r>
            <w:r>
              <w:instrText xml:space="preserve"> DOCPROPERTY  Spec#  \* MERGEFORMAT </w:instrText>
            </w:r>
            <w:r>
              <w:fldChar w:fldCharType="separate"/>
            </w:r>
            <w:r>
              <w:rPr>
                <w:b/>
                <w:sz w:val="28"/>
              </w:rPr>
              <w:t>38.21</w:t>
            </w:r>
            <w:r>
              <w:rPr>
                <w:b/>
                <w:sz w:val="28"/>
              </w:rPr>
              <w:fldChar w:fldCharType="end"/>
            </w:r>
            <w:r>
              <w:rPr>
                <w:rFonts w:hint="eastAsia"/>
                <w:b/>
                <w:sz w:val="28"/>
                <w:lang w:val="en-US" w:eastAsia="zh-CN"/>
              </w:rPr>
              <w:t>3</w:t>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xxxx</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15.</w:t>
            </w:r>
            <w:r>
              <w:rPr>
                <w:rFonts w:hint="eastAsia"/>
                <w:b/>
                <w:sz w:val="28"/>
                <w:lang w:val="en-US" w:eastAsia="zh-CN"/>
              </w:rPr>
              <w:t>7</w:t>
            </w:r>
            <w:r>
              <w:rPr>
                <w:b/>
                <w:sz w:val="28"/>
              </w:rPr>
              <w:t>.0</w:t>
            </w:r>
            <w:r>
              <w:rPr>
                <w:b/>
                <w:sz w:val="28"/>
              </w:rPr>
              <w:fldChar w:fldCharType="end"/>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eastAsia="Times New Roman"/>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eastAsia="Times New Roman"/>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256"/>
        <w:gridCol w:w="879"/>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ascii="Arial" w:hAnsi="Arial" w:cs="Times New Roman"/>
                <w:sz w:val="20"/>
                <w:szCs w:val="21"/>
                <w:lang w:val="zh-CN" w:eastAsia="zh-CN"/>
              </w:rPr>
              <w:t>Draft CR on HARQ-ACK transmission in case of UL BWP switching</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NR_newRAT-Core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2019-</w:t>
            </w:r>
            <w:r>
              <w:rPr>
                <w:rFonts w:hint="eastAsia"/>
                <w:lang w:val="en-US" w:eastAsia="zh-CN"/>
              </w:rPr>
              <w:t>10</w:t>
            </w:r>
            <w:r>
              <w:t>-</w:t>
            </w:r>
            <w:r>
              <w:rPr>
                <w:rFonts w:hint="eastAsia"/>
                <w:lang w:val="en-US" w:eastAsia="zh-CN"/>
              </w:rPr>
              <w:t>14</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256"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997"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rPr>
          <w:trHeight w:val="319" w:hRule="atLeast"/>
        </w:trPr>
        <w:tc>
          <w:tcPr>
            <w:tcW w:w="2099"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7541" w:type="dxa"/>
            <w:gridSpan w:val="9"/>
            <w:tcBorders>
              <w:top w:val="single" w:color="auto" w:sz="4" w:space="0"/>
              <w:right w:val="single" w:color="auto" w:sz="4" w:space="0"/>
            </w:tcBorders>
            <w:shd w:val="pct30" w:color="FFFF00" w:fill="auto"/>
          </w:tcPr>
          <w:p>
            <w:pPr>
              <w:keepNext w:val="0"/>
              <w:keepLines w:val="0"/>
              <w:pageBreakBefore w:val="0"/>
              <w:widowControl/>
              <w:numPr>
                <w:ilvl w:val="0"/>
                <w:numId w:val="0"/>
              </w:numPr>
              <w:kinsoku/>
              <w:wordWrap/>
              <w:overflowPunct/>
              <w:topLinePunct w:val="0"/>
              <w:autoSpaceDE/>
              <w:autoSpaceDN/>
              <w:bidi w:val="0"/>
              <w:adjustRightInd/>
              <w:snapToGrid w:val="0"/>
              <w:spacing w:after="180" w:line="240" w:lineRule="auto"/>
              <w:ind w:right="0" w:rightChars="0"/>
              <w:jc w:val="left"/>
              <w:textAlignment w:val="auto"/>
              <w:outlineLvl w:val="9"/>
              <w:rPr>
                <w:rFonts w:hint="eastAsia" w:ascii="Arial" w:hAnsi="Arial" w:cs="Times New Roman"/>
                <w:sz w:val="20"/>
                <w:szCs w:val="21"/>
                <w:lang w:val="en-US" w:eastAsia="zh-CN"/>
              </w:rPr>
            </w:pPr>
            <w:r>
              <w:rPr>
                <w:rFonts w:hint="eastAsia" w:ascii="Arial" w:hAnsi="Arial" w:cs="Times New Roman"/>
                <w:sz w:val="20"/>
                <w:szCs w:val="21"/>
                <w:lang w:val="en-US" w:eastAsia="zh-CN"/>
              </w:rPr>
              <w:t>In the RAN1#91 and RAN1#92bis meetings, the following agreements were reached.</w:t>
            </w:r>
          </w:p>
          <w:p>
            <w:pPr>
              <w:rPr>
                <w:szCs w:val="20"/>
                <w:lang w:eastAsia="zh-TW"/>
              </w:rPr>
            </w:pPr>
            <w:r>
              <w:rPr>
                <w:szCs w:val="20"/>
                <w:highlight w:val="green"/>
                <w:lang w:eastAsia="zh-TW"/>
              </w:rPr>
              <w:t>Agreements</w:t>
            </w:r>
            <w:r>
              <w:rPr>
                <w:szCs w:val="20"/>
                <w:lang w:eastAsia="zh-TW"/>
              </w:rPr>
              <w:t>:</w:t>
            </w:r>
          </w:p>
          <w:p>
            <w:pPr>
              <w:numPr>
                <w:ilvl w:val="0"/>
                <w:numId w:val="1"/>
              </w:numPr>
              <w:ind w:left="567" w:hanging="207"/>
              <w:rPr>
                <w:szCs w:val="20"/>
                <w:lang w:eastAsia="zh-TW"/>
              </w:rPr>
            </w:pPr>
            <w:r>
              <w:rPr>
                <w:szCs w:val="20"/>
                <w:lang w:eastAsia="zh-TW"/>
              </w:rPr>
              <w:t>A UE is not expected to transmit HARQ-ACK if a UE’s active UL BWP is switched between the reception of the corresponding DL assignment and the time of HARQ-ACK transmission at least for the paired spectrum</w:t>
            </w:r>
          </w:p>
          <w:p>
            <w:pPr>
              <w:rPr>
                <w:szCs w:val="20"/>
              </w:rPr>
            </w:pPr>
            <w:r>
              <w:rPr>
                <w:szCs w:val="20"/>
                <w:highlight w:val="green"/>
              </w:rPr>
              <w:t>Agreements</w:t>
            </w:r>
            <w:r>
              <w:rPr>
                <w:szCs w:val="20"/>
              </w:rPr>
              <w:t>:</w:t>
            </w:r>
          </w:p>
          <w:p>
            <w:pPr>
              <w:numPr>
                <w:ilvl w:val="0"/>
                <w:numId w:val="2"/>
              </w:numPr>
              <w:rPr>
                <w:szCs w:val="20"/>
                <w:lang w:val="en-US"/>
              </w:rPr>
            </w:pPr>
            <w:r>
              <w:rPr>
                <w:szCs w:val="20"/>
                <w:lang w:val="en-US"/>
              </w:rPr>
              <w:t xml:space="preserve">For unpaired spectrum and DL/UL BWP switching </w:t>
            </w:r>
          </w:p>
          <w:p>
            <w:pPr>
              <w:numPr>
                <w:ilvl w:val="1"/>
                <w:numId w:val="2"/>
              </w:numPr>
            </w:pPr>
            <w:r>
              <w:rPr>
                <w:szCs w:val="20"/>
                <w:lang w:val="en-US"/>
              </w:rPr>
              <w:t>UE does not transmit HARQ-ACK for PDSCH reception(s) on the DL BWP prior to DL/UL BWP switching</w:t>
            </w:r>
          </w:p>
          <w:p>
            <w:pPr>
              <w:keepNext w:val="0"/>
              <w:keepLines w:val="0"/>
              <w:pageBreakBefore w:val="0"/>
              <w:widowControl/>
              <w:numPr>
                <w:ilvl w:val="0"/>
                <w:numId w:val="0"/>
              </w:numPr>
              <w:kinsoku/>
              <w:wordWrap/>
              <w:overflowPunct/>
              <w:topLinePunct w:val="0"/>
              <w:autoSpaceDE/>
              <w:autoSpaceDN/>
              <w:bidi w:val="0"/>
              <w:adjustRightInd/>
              <w:snapToGrid w:val="0"/>
              <w:spacing w:after="180" w:line="240" w:lineRule="auto"/>
              <w:ind w:right="0" w:rightChars="0"/>
              <w:jc w:val="left"/>
              <w:textAlignment w:val="auto"/>
              <w:outlineLvl w:val="9"/>
              <w:rPr>
                <w:rFonts w:hint="eastAsia" w:ascii="Arial" w:hAnsi="Arial" w:cs="Times New Roman"/>
                <w:sz w:val="20"/>
                <w:szCs w:val="21"/>
                <w:lang w:val="en-US" w:eastAsia="zh-CN"/>
              </w:rPr>
            </w:pPr>
            <w:r>
              <w:rPr>
                <w:rFonts w:hint="eastAsia" w:ascii="Arial" w:hAnsi="Arial" w:cs="Times New Roman"/>
                <w:sz w:val="20"/>
                <w:szCs w:val="21"/>
                <w:lang w:val="en-US" w:eastAsia="zh-CN"/>
              </w:rPr>
              <w:t xml:space="preserve">For FDD, when an UL BWP on the PCell is switched, the UE does not expect the HARQ-ACK before the UL BWP switching to be transmitted after the UL BWP switching. The corresponding agreement is captured in the current </w:t>
            </w:r>
            <w:r>
              <w:rPr>
                <w:rFonts w:hint="eastAsia" w:ascii="Arial" w:hAnsi="Arial"/>
                <w:sz w:val="20"/>
                <w:szCs w:val="21"/>
                <w:lang w:val="en-US" w:eastAsia="zh-CN"/>
              </w:rPr>
              <w:t>specification as follows</w:t>
            </w:r>
            <w:r>
              <w:rPr>
                <w:rFonts w:hint="eastAsia" w:ascii="Arial" w:hAnsi="Arial" w:cs="Times New Roman"/>
                <w:sz w:val="20"/>
                <w:szCs w:val="21"/>
                <w:lang w:val="en-US" w:eastAsia="zh-CN"/>
              </w:rPr>
              <w:t>.</w:t>
            </w:r>
          </w:p>
          <w:p>
            <w:pPr>
              <w:spacing w:after="0"/>
              <w:rPr>
                <w:lang w:eastAsia="zh-TW"/>
              </w:rPr>
            </w:pPr>
            <w:r>
              <w:rPr>
                <w:lang w:eastAsia="zh-TW"/>
              </w:rPr>
              <w:t xml:space="preserve">For paired spectrum operation, a UE does not expect to transmit a PUCCH with HARQ-ACK information </w:t>
            </w:r>
            <w:r>
              <w:rPr>
                <w:rFonts w:eastAsia="Malgun Gothic"/>
                <w:lang w:eastAsia="zh-TW"/>
              </w:rPr>
              <w:t xml:space="preserve">on a PUCCH resource indicated by a DCI format 1_0 or a DCI format 1_1 </w:t>
            </w:r>
            <w:r>
              <w:rPr>
                <w:lang w:eastAsia="zh-TW"/>
              </w:rPr>
              <w:t>if the UE changes its active UL BWP on the PCell or PUCCH-SCell between a time of a detection of the DCI format 1_0 or the DCI format 1_1 and a time of a corresponding PUCCH transmission with HARQ-ACK information.</w:t>
            </w:r>
          </w:p>
          <w:p>
            <w:pPr>
              <w:spacing w:after="0"/>
              <w:rPr>
                <w:lang w:eastAsia="zh-TW"/>
              </w:rPr>
            </w:pPr>
          </w:p>
          <w:p>
            <w:pPr>
              <w:keepNext w:val="0"/>
              <w:keepLines w:val="0"/>
              <w:pageBreakBefore w:val="0"/>
              <w:widowControl/>
              <w:numPr>
                <w:ilvl w:val="0"/>
                <w:numId w:val="0"/>
              </w:numPr>
              <w:kinsoku/>
              <w:wordWrap/>
              <w:overflowPunct/>
              <w:topLinePunct w:val="0"/>
              <w:autoSpaceDE/>
              <w:autoSpaceDN/>
              <w:bidi w:val="0"/>
              <w:adjustRightInd/>
              <w:snapToGrid w:val="0"/>
              <w:spacing w:after="180" w:line="240" w:lineRule="auto"/>
              <w:ind w:right="0" w:rightChars="0"/>
              <w:jc w:val="left"/>
              <w:textAlignment w:val="auto"/>
              <w:outlineLvl w:val="9"/>
              <w:rPr>
                <w:rFonts w:hint="default"/>
                <w:lang w:val="en-US"/>
              </w:rPr>
            </w:pPr>
            <w:r>
              <w:rPr>
                <w:rFonts w:hint="eastAsia" w:ascii="Arial" w:hAnsi="Arial" w:cs="Times New Roman"/>
                <w:sz w:val="20"/>
                <w:szCs w:val="21"/>
                <w:lang w:val="en-US" w:eastAsia="zh-CN"/>
              </w:rPr>
              <w:t xml:space="preserve">However, for TDD, when an UL/DL BWP on the PCell is switched, the corresponding rule is missing in the current </w:t>
            </w:r>
            <w:r>
              <w:rPr>
                <w:rFonts w:hint="eastAsia" w:ascii="Arial" w:hAnsi="Arial"/>
                <w:sz w:val="20"/>
                <w:szCs w:val="21"/>
                <w:lang w:val="en-US" w:eastAsia="zh-CN"/>
              </w:rPr>
              <w:t>specification</w:t>
            </w:r>
            <w:r>
              <w:rPr>
                <w:rFonts w:hint="eastAsia" w:ascii="Arial" w:hAnsi="Arial" w:cs="Times New Roman"/>
                <w:sz w:val="20"/>
                <w:szCs w:val="21"/>
                <w:lang w:val="en-US" w:eastAsia="zh-CN"/>
              </w:rPr>
              <w:t>. Note, according to TS 38.321, f</w:t>
            </w:r>
            <w:r>
              <w:rPr>
                <w:rFonts w:hint="eastAsia" w:ascii="Arial" w:hAnsi="Arial"/>
                <w:color w:val="auto"/>
                <w:sz w:val="20"/>
                <w:szCs w:val="21"/>
                <w:lang w:val="en-US" w:eastAsia="zh-CN"/>
              </w:rPr>
              <w:t xml:space="preserve">or </w:t>
            </w:r>
            <w:r>
              <w:rPr>
                <w:rFonts w:hint="eastAsia" w:ascii="Arial" w:hAnsi="Arial"/>
                <w:sz w:val="20"/>
                <w:szCs w:val="21"/>
                <w:lang w:val="en-US" w:eastAsia="zh-CN"/>
              </w:rPr>
              <w:t>TDD</w:t>
            </w:r>
            <w:r>
              <w:rPr>
                <w:rFonts w:hint="eastAsia" w:ascii="Arial" w:hAnsi="Arial"/>
                <w:color w:val="auto"/>
                <w:sz w:val="20"/>
                <w:szCs w:val="21"/>
                <w:lang w:val="en-US" w:eastAsia="zh-CN"/>
              </w:rPr>
              <w:t>, a DL BWP is paired with a UL BWP, and BWP switching is common for both UL and DL.</w:t>
            </w:r>
            <w:bookmarkStart w:id="5" w:name="_GoBack"/>
            <w:bookmarkEnd w:id="5"/>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1"/>
              <w:spacing w:after="0"/>
              <w:rPr>
                <w:b/>
                <w:i/>
                <w:sz w:val="8"/>
                <w:szCs w:val="8"/>
              </w:rPr>
            </w:pPr>
          </w:p>
        </w:tc>
        <w:tc>
          <w:tcPr>
            <w:tcW w:w="7541"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1"/>
              <w:tabs>
                <w:tab w:val="right" w:pos="2184"/>
              </w:tabs>
              <w:spacing w:after="0"/>
              <w:rPr>
                <w:b/>
                <w:i/>
              </w:rPr>
            </w:pPr>
            <w:r>
              <w:rPr>
                <w:b/>
                <w:i/>
              </w:rPr>
              <w:t>Summary of change:</w:t>
            </w:r>
          </w:p>
        </w:tc>
        <w:tc>
          <w:tcPr>
            <w:tcW w:w="7541" w:type="dxa"/>
            <w:gridSpan w:val="9"/>
            <w:tcBorders>
              <w:right w:val="single" w:color="auto" w:sz="4" w:space="0"/>
            </w:tcBorders>
            <w:shd w:val="pct30" w:color="FFFF00" w:fill="auto"/>
          </w:tcPr>
          <w:p>
            <w:pPr>
              <w:pStyle w:val="81"/>
              <w:spacing w:after="0"/>
              <w:ind w:left="0"/>
              <w:rPr>
                <w:rFonts w:hint="default" w:eastAsiaTheme="minorEastAsia"/>
                <w:lang w:val="en-US" w:eastAsia="zh-CN"/>
              </w:rPr>
            </w:pPr>
            <w:r>
              <w:rPr>
                <w:rFonts w:hint="eastAsia"/>
                <w:lang w:val="en-US" w:eastAsia="zh-CN"/>
              </w:rPr>
              <w:t>Delete "For paired spectrum operation" to apply the operation for both TDD and FDD.</w:t>
            </w: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1"/>
              <w:spacing w:after="0"/>
              <w:rPr>
                <w:b/>
                <w:i/>
                <w:sz w:val="8"/>
                <w:szCs w:val="8"/>
              </w:rPr>
            </w:pPr>
          </w:p>
        </w:tc>
        <w:tc>
          <w:tcPr>
            <w:tcW w:w="7541"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099"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7541" w:type="dxa"/>
            <w:gridSpan w:val="9"/>
            <w:tcBorders>
              <w:bottom w:val="single" w:color="auto" w:sz="4" w:space="0"/>
              <w:right w:val="single" w:color="auto" w:sz="4" w:space="0"/>
            </w:tcBorders>
            <w:shd w:val="pct30" w:color="FFFF00" w:fill="auto"/>
          </w:tcPr>
          <w:p>
            <w:pPr>
              <w:pStyle w:val="81"/>
              <w:spacing w:after="0"/>
              <w:ind w:left="0"/>
              <w:rPr>
                <w:rFonts w:hint="eastAsia"/>
                <w:lang w:eastAsia="zh-CN"/>
              </w:rPr>
            </w:pPr>
            <w:r>
              <w:rPr>
                <w:rFonts w:hint="eastAsia"/>
                <w:lang w:eastAsia="zh-CN"/>
              </w:rPr>
              <w:t>The UE behavior is unclear if the UL BWP on the PCell is switched in TDD.</w:t>
            </w:r>
            <w:r>
              <w:rPr>
                <w:rFonts w:hint="eastAsia" w:cs="Times New Roman"/>
                <w:sz w:val="20"/>
                <w:szCs w:val="21"/>
                <w:lang w:val="en-US" w:eastAsia="zh-CN"/>
              </w:rPr>
              <w:t xml:space="preserve"> </w:t>
            </w:r>
          </w:p>
        </w:tc>
      </w:tr>
      <w:tr>
        <w:tblPrEx>
          <w:tblLayout w:type="fixed"/>
          <w:tblCellMar>
            <w:top w:w="0" w:type="dxa"/>
            <w:left w:w="42" w:type="dxa"/>
            <w:bottom w:w="0" w:type="dxa"/>
            <w:right w:w="42" w:type="dxa"/>
          </w:tblCellMar>
        </w:tblPrEx>
        <w:tc>
          <w:tcPr>
            <w:tcW w:w="2099" w:type="dxa"/>
            <w:gridSpan w:val="2"/>
          </w:tcPr>
          <w:p>
            <w:pPr>
              <w:pStyle w:val="81"/>
              <w:spacing w:after="0"/>
              <w:rPr>
                <w:b/>
                <w:i/>
                <w:sz w:val="8"/>
                <w:szCs w:val="8"/>
              </w:rPr>
            </w:pPr>
          </w:p>
        </w:tc>
        <w:tc>
          <w:tcPr>
            <w:tcW w:w="7541"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099"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7541"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12</w:t>
            </w: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1"/>
              <w:spacing w:after="0"/>
              <w:rPr>
                <w:b/>
                <w:i/>
                <w:sz w:val="8"/>
                <w:szCs w:val="8"/>
              </w:rPr>
            </w:pPr>
          </w:p>
        </w:tc>
        <w:tc>
          <w:tcPr>
            <w:tcW w:w="7541"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1"/>
              <w:tabs>
                <w:tab w:val="right" w:pos="2184"/>
              </w:tabs>
              <w:spacing w:after="0"/>
              <w:rPr>
                <w:b/>
                <w:i/>
              </w:rPr>
            </w:pPr>
          </w:p>
        </w:tc>
        <w:tc>
          <w:tcPr>
            <w:tcW w:w="879"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1"/>
              <w:tabs>
                <w:tab w:val="right" w:pos="2184"/>
              </w:tabs>
              <w:spacing w:after="0"/>
              <w:rPr>
                <w:b/>
                <w:i/>
              </w:rPr>
            </w:pPr>
            <w:r>
              <w:rPr>
                <w:b/>
                <w:i/>
              </w:rPr>
              <w:t>Other specs</w:t>
            </w:r>
          </w:p>
        </w:tc>
        <w:tc>
          <w:tcPr>
            <w:tcW w:w="879"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eastAsia="Times New Roman"/>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1"/>
              <w:spacing w:after="0"/>
              <w:rPr>
                <w:b/>
                <w:i/>
              </w:rPr>
            </w:pPr>
            <w:r>
              <w:rPr>
                <w:b/>
                <w:i/>
              </w:rPr>
              <w:t>affected:</w:t>
            </w:r>
          </w:p>
        </w:tc>
        <w:tc>
          <w:tcPr>
            <w:tcW w:w="879"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eastAsia="Times New Roman"/>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1"/>
              <w:spacing w:after="0"/>
              <w:rPr>
                <w:b/>
                <w:i/>
              </w:rPr>
            </w:pPr>
            <w:r>
              <w:rPr>
                <w:b/>
                <w:i/>
              </w:rPr>
              <w:t>(show related CRs)</w:t>
            </w:r>
          </w:p>
        </w:tc>
        <w:tc>
          <w:tcPr>
            <w:tcW w:w="879"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eastAsia="Times New Roman"/>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1"/>
              <w:spacing w:after="0"/>
              <w:rPr>
                <w:b/>
                <w:i/>
              </w:rPr>
            </w:pPr>
          </w:p>
        </w:tc>
        <w:tc>
          <w:tcPr>
            <w:tcW w:w="7541"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099"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7541" w:type="dxa"/>
            <w:gridSpan w:val="9"/>
            <w:tcBorders>
              <w:bottom w:val="single" w:color="auto" w:sz="4" w:space="0"/>
              <w:right w:val="single" w:color="auto" w:sz="4" w:space="0"/>
            </w:tcBorders>
            <w:shd w:val="pct30" w:color="FFFF00" w:fill="auto"/>
          </w:tcPr>
          <w:p>
            <w:pPr>
              <w:pStyle w:val="81"/>
              <w:spacing w:after="0"/>
              <w:ind w:left="100"/>
              <w:rPr>
                <w:b/>
              </w:rPr>
            </w:pPr>
            <w:r>
              <w:rPr>
                <w:b/>
              </w:rPr>
              <w:t>Isolated impact analysis:</w:t>
            </w:r>
          </w:p>
          <w:p>
            <w:pPr>
              <w:pStyle w:val="81"/>
              <w:spacing w:after="0"/>
              <w:ind w:left="100"/>
            </w:pPr>
          </w:p>
          <w:p>
            <w:pPr>
              <w:pStyle w:val="81"/>
              <w:spacing w:after="0"/>
              <w:ind w:left="100"/>
            </w:pPr>
            <w:r>
              <w:t>This CR is based on RAN1’s common understanding, which should be no impact.</w:t>
            </w:r>
          </w:p>
          <w:p>
            <w:pPr>
              <w:pStyle w:val="81"/>
              <w:spacing w:after="0"/>
              <w:ind w:left="100"/>
            </w:pPr>
          </w:p>
        </w:tc>
      </w:tr>
      <w:tr>
        <w:tblPrEx>
          <w:tblLayout w:type="fixed"/>
          <w:tblCellMar>
            <w:top w:w="0" w:type="dxa"/>
            <w:left w:w="42" w:type="dxa"/>
            <w:bottom w:w="0" w:type="dxa"/>
            <w:right w:w="42" w:type="dxa"/>
          </w:tblCellMar>
        </w:tblPrEx>
        <w:tc>
          <w:tcPr>
            <w:tcW w:w="2099"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7541"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099"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7541"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t>This is the first version for this CR.</w:t>
            </w: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2"/>
        <w:tabs>
          <w:tab w:val="left" w:pos="1134"/>
        </w:tabs>
      </w:pPr>
      <w:bookmarkStart w:id="2" w:name="_Toc12021494"/>
      <w:bookmarkStart w:id="3" w:name="_Ref496621482"/>
      <w:r>
        <w:t>12</w:t>
      </w:r>
      <w:r>
        <w:rPr>
          <w:rFonts w:hint="eastAsia"/>
        </w:rPr>
        <w:tab/>
      </w:r>
      <w:r>
        <w:t>Bandwidth part operation</w:t>
      </w:r>
      <w:bookmarkEnd w:id="2"/>
      <w:bookmarkEnd w:id="3"/>
      <w:r>
        <w:t xml:space="preserve"> </w:t>
      </w:r>
    </w:p>
    <w:p>
      <w:r>
        <w:t>If the UE is configured with a SCG, the UE shall apply the procedures described in this clause for both MCG and SCG</w:t>
      </w:r>
    </w:p>
    <w:p>
      <w:pPr>
        <w:pStyle w:val="75"/>
      </w:pPr>
      <w:r>
        <w:t>-</w:t>
      </w:r>
      <w:r>
        <w:tab/>
      </w:r>
      <w:r>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pPr>
        <w:pStyle w:val="75"/>
      </w:pPr>
      <w:r>
        <w:t>-</w:t>
      </w:r>
      <w:r>
        <w:tab/>
      </w:r>
      <w:r>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The term 'primary cell' in this clause refers to the PSCell of the SCG.</w:t>
      </w:r>
    </w:p>
    <w:p>
      <w:pPr>
        <w:rPr>
          <w:rFonts w:eastAsia="MS Mincho"/>
        </w:rPr>
      </w:pPr>
      <w:r>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Pr>
          <w:rFonts w:eastAsia="MS Mincho"/>
          <w:i/>
        </w:rPr>
        <w:t>BWP-Downlink</w:t>
      </w:r>
      <w:r>
        <w:rPr>
          <w:rFonts w:eastAsia="MS Mincho"/>
        </w:rPr>
        <w:t xml:space="preserve"> or by parameter </w:t>
      </w:r>
      <w:r>
        <w:rPr>
          <w:rFonts w:eastAsia="MS Mincho"/>
          <w:i/>
        </w:rPr>
        <w:t>initialDownlinkBWP</w:t>
      </w:r>
      <w:r>
        <w:rPr>
          <w:rFonts w:eastAsia="MS Mincho"/>
        </w:rPr>
        <w:t xml:space="preserve"> with </w:t>
      </w:r>
      <w:r>
        <w:rPr>
          <w:lang w:val="en-US"/>
        </w:rPr>
        <w:t xml:space="preserve">a set of parameters configured by </w:t>
      </w:r>
      <w:r>
        <w:rPr>
          <w:i/>
          <w:lang w:val="en-US"/>
        </w:rPr>
        <w:t>BWP-DownlinkCommon</w:t>
      </w:r>
      <w:r>
        <w:rPr>
          <w:lang w:val="en-US"/>
        </w:rPr>
        <w:t xml:space="preserve"> and </w:t>
      </w:r>
      <w:r>
        <w:rPr>
          <w:i/>
          <w:lang w:val="en-US"/>
        </w:rPr>
        <w:t>BWP-DownlinkDedicated</w:t>
      </w:r>
      <w:r>
        <w:rPr>
          <w:rFonts w:eastAsia="MS Mincho"/>
        </w:rPr>
        <w:t xml:space="preserve">, and a set of at most four BWPs for transmissions by the UE (UL BWP set) in an UL bandwidth by parameter </w:t>
      </w:r>
      <w:r>
        <w:rPr>
          <w:rFonts w:eastAsia="MS Mincho"/>
          <w:i/>
        </w:rPr>
        <w:t>BWP-Uplink</w:t>
      </w:r>
      <w:r>
        <w:rPr>
          <w:rFonts w:eastAsia="MS Mincho"/>
        </w:rPr>
        <w:t xml:space="preserve"> or by parameter </w:t>
      </w:r>
      <w:r>
        <w:rPr>
          <w:rFonts w:eastAsia="MS Mincho"/>
          <w:i/>
        </w:rPr>
        <w:t>initialUplinkBWP</w:t>
      </w:r>
      <w:r>
        <w:rPr>
          <w:rFonts w:eastAsia="MS Mincho"/>
        </w:rPr>
        <w:t xml:space="preserve"> with </w:t>
      </w:r>
      <w:r>
        <w:rPr>
          <w:lang w:val="en-US"/>
        </w:rPr>
        <w:t xml:space="preserve">a set of parameters configured by </w:t>
      </w:r>
      <w:r>
        <w:rPr>
          <w:i/>
          <w:lang w:val="en-US"/>
        </w:rPr>
        <w:t>BWP-UplinkCommon</w:t>
      </w:r>
      <w:r>
        <w:rPr>
          <w:lang w:val="en-US"/>
        </w:rPr>
        <w:t xml:space="preserve"> and </w:t>
      </w:r>
      <w:r>
        <w:rPr>
          <w:i/>
          <w:lang w:val="en-US"/>
        </w:rPr>
        <w:t>BWP-UplinkDedicated</w:t>
      </w:r>
      <w:r>
        <w:rPr>
          <w:rFonts w:eastAsia="MS Mincho"/>
        </w:rPr>
        <w:t xml:space="preserve">. </w:t>
      </w:r>
    </w:p>
    <w:p>
      <w:pPr>
        <w:rPr>
          <w:rFonts w:eastAsia="MS Mincho"/>
        </w:rPr>
      </w:pPr>
      <w:r>
        <w:rPr>
          <w:lang w:eastAsia="ja-JP"/>
        </w:rPr>
        <w:t xml:space="preserve">If a UE is not provided </w:t>
      </w:r>
      <w:r>
        <w:rPr>
          <w:rFonts w:eastAsia="Yu Mincho"/>
          <w:i/>
        </w:rPr>
        <w:t>initialDownlinkBWP</w:t>
      </w:r>
      <w:r>
        <w:rPr>
          <w:rFonts w:eastAsia="Yu Mincho"/>
        </w:rPr>
        <w:t>,</w:t>
      </w:r>
      <w:r>
        <w:rPr>
          <w:lang w:eastAsia="ja-JP"/>
        </w:rPr>
        <w:t xml:space="preserve"> an initial DL BWP is defined by a location and number of contiguous PRBs, </w:t>
      </w:r>
      <w:r>
        <w:rPr>
          <w:rFonts w:eastAsia="Yu Mincho"/>
        </w:rPr>
        <w:t xml:space="preserve">starting from a PRB with the lowest index and ending at a PRB with the highest index among PRBs of a CORESET for Type0-PDCCH CSS set, and </w:t>
      </w:r>
      <w:r>
        <w:rPr>
          <w:lang w:eastAsia="ja-JP"/>
        </w:rPr>
        <w:t xml:space="preserve">a SCS and a cyclic prefix for PDCCH reception in the CORESET for Type0-PDCCH </w:t>
      </w:r>
      <w:r>
        <w:rPr>
          <w:rFonts w:eastAsia="Yu Mincho"/>
        </w:rPr>
        <w:t>CSS set</w:t>
      </w:r>
      <w:r>
        <w:rPr>
          <w:lang w:eastAsia="ja-JP"/>
        </w:rPr>
        <w:t xml:space="preserve">; otherwise, the initial DL BWP is provided by </w:t>
      </w:r>
      <w:r>
        <w:rPr>
          <w:rFonts w:eastAsia="Yu Mincho"/>
          <w:i/>
        </w:rPr>
        <w:t>initialDownlinkBWP</w:t>
      </w:r>
      <w:r>
        <w:rPr>
          <w:lang w:eastAsia="ja-JP"/>
        </w:rPr>
        <w:t>. For operation on the primary cell or on a secondary cell, a UE is</w:t>
      </w:r>
      <w:r>
        <w:rPr>
          <w:rFonts w:eastAsia="MS Mincho"/>
        </w:rPr>
        <w:t xml:space="preserve"> provided </w:t>
      </w:r>
      <w:r>
        <w:t xml:space="preserve">an initial UL BWP by </w:t>
      </w:r>
      <w:r>
        <w:rPr>
          <w:i/>
        </w:rPr>
        <w:t>initialUplinkBWP</w:t>
      </w:r>
      <w:r>
        <w:t>.</w:t>
      </w:r>
      <w:r>
        <w:rPr>
          <w:rFonts w:eastAsia="MS Mincho"/>
        </w:rPr>
        <w:t xml:space="preserve"> </w:t>
      </w:r>
      <w:r>
        <w:t>If the UE is configured with a supplementary UL carrier</w:t>
      </w:r>
      <w:r>
        <w:rPr>
          <w:rFonts w:eastAsia="MS Mincho"/>
        </w:rPr>
        <w:t xml:space="preserve">, the UE can be provided an initial UL BWP on the supplementary </w:t>
      </w:r>
      <w:r>
        <w:t xml:space="preserve">UL </w:t>
      </w:r>
      <w:r>
        <w:rPr>
          <w:rFonts w:eastAsia="MS Mincho"/>
        </w:rPr>
        <w:t>carrier</w:t>
      </w:r>
      <w:r>
        <w:rPr>
          <w:lang w:eastAsia="zh-CN"/>
        </w:rPr>
        <w:t xml:space="preserve"> by </w:t>
      </w:r>
      <w:r>
        <w:rPr>
          <w:i/>
          <w:iCs/>
          <w:lang w:eastAsia="zh-CN"/>
        </w:rPr>
        <w:t>initialUplinkBWP</w:t>
      </w:r>
      <w:r>
        <w:rPr>
          <w:rFonts w:eastAsia="MS Mincho"/>
        </w:rPr>
        <w:t>.</w:t>
      </w:r>
    </w:p>
    <w:p>
      <w:r>
        <w:t xml:space="preserve">If a UE has dedicated BWP configuration, the UE can be provided by </w:t>
      </w:r>
      <w:r>
        <w:rPr>
          <w:i/>
        </w:rPr>
        <w:t>firstActiveDownlinkBWP-Id</w:t>
      </w:r>
      <w:r>
        <w:t xml:space="preserve"> a first active DL BWP for receptions and by </w:t>
      </w:r>
      <w:r>
        <w:rPr>
          <w:i/>
        </w:rPr>
        <w:t>firstActiveUplinkBWP-Id</w:t>
      </w:r>
      <w:r>
        <w:t xml:space="preserve"> a first active UL BWP for transmissions on a carrier of the primary cell. </w:t>
      </w:r>
    </w:p>
    <w:p>
      <w:r>
        <w:rPr>
          <w:rFonts w:eastAsia="MS Mincho"/>
        </w:rPr>
        <w:t xml:space="preserve">For each DL BWP or UL BWP in a set of DL BWPs or UL BWPs, respectively, the UE is provided the following parameters for the serving cell as defined in </w:t>
      </w:r>
      <w:r>
        <w:rPr>
          <w:rFonts w:eastAsia="宋体"/>
          <w:kern w:val="2"/>
          <w:lang w:eastAsia="zh-CN"/>
        </w:rPr>
        <w:t>[4, TS 38.211] or [6, TS 38.214]</w:t>
      </w:r>
      <w:r>
        <w:t>:</w:t>
      </w:r>
    </w:p>
    <w:p>
      <w:pPr>
        <w:pStyle w:val="75"/>
        <w:rPr>
          <w:rFonts w:eastAsia="MS Mincho"/>
        </w:rPr>
      </w:pPr>
      <w:r>
        <w:rPr>
          <w:rFonts w:eastAsia="MS Mincho"/>
        </w:rPr>
        <w:t>-</w:t>
      </w:r>
      <w:r>
        <w:rPr>
          <w:rFonts w:eastAsia="MS Mincho"/>
        </w:rPr>
        <w:tab/>
      </w:r>
      <w:r>
        <w:rPr>
          <w:rFonts w:eastAsia="MS Mincho"/>
        </w:rPr>
        <w:t xml:space="preserve">a SCS by </w:t>
      </w:r>
      <w:r>
        <w:rPr>
          <w:i/>
        </w:rPr>
        <w:t>subcarrierSpacing</w:t>
      </w:r>
    </w:p>
    <w:p>
      <w:pPr>
        <w:pStyle w:val="75"/>
        <w:rPr>
          <w:rFonts w:eastAsia="MS Mincho"/>
        </w:rPr>
      </w:pPr>
      <w:r>
        <w:rPr>
          <w:rFonts w:eastAsia="MS Mincho"/>
        </w:rPr>
        <w:t>-</w:t>
      </w:r>
      <w:r>
        <w:rPr>
          <w:rFonts w:eastAsia="MS Mincho"/>
        </w:rPr>
        <w:tab/>
      </w:r>
      <w:r>
        <w:rPr>
          <w:rFonts w:eastAsia="MS Mincho"/>
        </w:rPr>
        <w:t xml:space="preserve">a cyclic prefix by </w:t>
      </w:r>
      <w:r>
        <w:rPr>
          <w:i/>
        </w:rPr>
        <w:t>cyclicPrefix</w:t>
      </w:r>
    </w:p>
    <w:p>
      <w:pPr>
        <w:pStyle w:val="75"/>
        <w:rPr>
          <w:lang w:val="en-US"/>
        </w:rPr>
      </w:pPr>
      <w:r>
        <w:rPr>
          <w:rFonts w:eastAsia="MS Mincho"/>
        </w:rPr>
        <w:t>-</w:t>
      </w:r>
      <w:r>
        <w:rPr>
          <w:rFonts w:eastAsia="MS Mincho"/>
        </w:rPr>
        <w:tab/>
      </w:r>
      <w:r>
        <w:t xml:space="preserve">a </w:t>
      </w:r>
      <w:r>
        <w:rPr>
          <w:lang w:val="en-US"/>
        </w:rPr>
        <w:t>common</w:t>
      </w:r>
      <w:r>
        <w:t xml:space="preserve"> RB </w:t>
      </w:r>
      <w:r>
        <w:rPr>
          <w:position w:val="-10"/>
        </w:rPr>
        <w:object>
          <v:shape id="_x0000_i1025" o:spt="75" type="#_x0000_t75" style="height:18.4pt;width:93.7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lang w:val="en-US"/>
        </w:rPr>
        <w:t xml:space="preserve"> </w:t>
      </w:r>
      <w:r>
        <w:t xml:space="preserve">and a number of contiguous RBs </w:t>
      </w:r>
      <w:r>
        <w:rPr>
          <w:position w:val="-10"/>
        </w:rPr>
        <w:object>
          <v:shape id="_x0000_i1026" o:spt="75" type="#_x0000_t75" style="height:16.75pt;width:50.25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rPr>
          <w:lang w:val="en-US"/>
        </w:rPr>
        <w:t xml:space="preserve"> provided </w:t>
      </w:r>
      <w:r>
        <w:t xml:space="preserve">by </w:t>
      </w:r>
      <w:r>
        <w:rPr>
          <w:i/>
        </w:rPr>
        <w:t xml:space="preserve">locationAndBandwidth </w:t>
      </w:r>
      <w:r>
        <w:t xml:space="preserve">that </w:t>
      </w:r>
      <w:r>
        <w:rPr>
          <w:lang w:val="en-US"/>
        </w:rPr>
        <w:t>indicates</w:t>
      </w:r>
      <w:r>
        <w:t xml:space="preserve"> </w:t>
      </w:r>
      <w:r>
        <w:rPr>
          <w:lang w:val="en-US"/>
        </w:rPr>
        <w:t xml:space="preserve">an offset </w:t>
      </w:r>
      <w:r>
        <w:rPr>
          <w:position w:val="-10"/>
        </w:rPr>
        <w:object>
          <v:shape id="_x0000_i1027" o:spt="75" type="#_x0000_t75" style="height:15.05pt;width:23.4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lang w:val="en-US"/>
        </w:rPr>
        <w:t xml:space="preserve"> and a length </w:t>
      </w:r>
      <w:r>
        <w:rPr>
          <w:position w:val="-10"/>
        </w:rPr>
        <w:object>
          <v:shape id="_x0000_i1028" o:spt="75" type="#_x0000_t75" style="height:14.25pt;width:16.7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r>
        <w:rPr>
          <w:lang w:val="en-US"/>
        </w:rPr>
        <w:t xml:space="preserve"> </w:t>
      </w:r>
      <w:r>
        <w:t>as RIV according to [</w:t>
      </w:r>
      <w:r>
        <w:rPr>
          <w:lang w:val="en-US"/>
        </w:rPr>
        <w:t>6</w:t>
      </w:r>
      <w:r>
        <w:t xml:space="preserve">, TS 38.214], setting </w:t>
      </w:r>
      <w:r>
        <w:rPr>
          <w:position w:val="-10"/>
        </w:rPr>
        <w:object>
          <v:shape id="_x0000_i1029" o:spt="75" type="#_x0000_t75" style="height:17.6pt;width:52.75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rPr>
          <w:lang w:val="en-US"/>
        </w:rPr>
        <w:t>,</w:t>
      </w:r>
      <w:r>
        <w:t xml:space="preserve"> and </w:t>
      </w:r>
      <w:r>
        <w:rPr>
          <w:lang w:val="en-US"/>
        </w:rPr>
        <w:t xml:space="preserve">a value </w:t>
      </w:r>
      <w:r>
        <w:rPr>
          <w:position w:val="-10"/>
        </w:rPr>
        <w:object>
          <v:shape id="_x0000_i1030" o:spt="75" type="#_x0000_t75" style="height:16.75pt;width:28.45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rPr>
          <w:lang w:val="en-US"/>
        </w:rPr>
        <w:t xml:space="preserve"> provided by</w:t>
      </w:r>
      <w:r>
        <w:t xml:space="preserve"> </w:t>
      </w:r>
      <w:r>
        <w:rPr>
          <w:i/>
        </w:rPr>
        <w:t>offsetToCarrier</w:t>
      </w:r>
      <w:r>
        <w:t xml:space="preserve"> </w:t>
      </w:r>
      <w:r>
        <w:rPr>
          <w:lang w:val="en-US"/>
        </w:rPr>
        <w:t>for the</w:t>
      </w:r>
      <w:r>
        <w:t xml:space="preserve"> </w:t>
      </w:r>
      <w:r>
        <w:rPr>
          <w:i/>
        </w:rPr>
        <w:t>subcarrierSpacing</w:t>
      </w:r>
    </w:p>
    <w:p>
      <w:pPr>
        <w:pStyle w:val="75"/>
      </w:pPr>
      <w:r>
        <w:t>-</w:t>
      </w:r>
      <w:r>
        <w:tab/>
      </w:r>
      <w:r>
        <w:t xml:space="preserve">an index in the set of DL BWPs or UL BWPs by respective </w:t>
      </w:r>
      <w:r>
        <w:rPr>
          <w:i/>
          <w:lang w:val="en-US"/>
        </w:rPr>
        <w:t>BWP-Id</w:t>
      </w:r>
    </w:p>
    <w:p>
      <w:pPr>
        <w:pStyle w:val="75"/>
      </w:pPr>
      <w:r>
        <w:t>-</w:t>
      </w:r>
      <w:r>
        <w:tab/>
      </w:r>
      <w:r>
        <w:rPr>
          <w:lang w:val="en-US"/>
        </w:rPr>
        <w:t xml:space="preserve">a set of BWP-common and a set of BWP-dedicated parameters by </w:t>
      </w:r>
      <w:r>
        <w:rPr>
          <w:i/>
          <w:lang w:val="en-US"/>
        </w:rPr>
        <w:t>BWP-DownlinkCommon</w:t>
      </w:r>
      <w:r>
        <w:rPr>
          <w:lang w:val="en-US"/>
        </w:rPr>
        <w:t xml:space="preserve"> and </w:t>
      </w:r>
      <w:r>
        <w:rPr>
          <w:i/>
          <w:lang w:val="en-US"/>
        </w:rPr>
        <w:t xml:space="preserve">BWP-DownlinkDedicated </w:t>
      </w:r>
      <w:r>
        <w:rPr>
          <w:lang w:val="en-US"/>
        </w:rPr>
        <w:t xml:space="preserve">for the DL BWP, or </w:t>
      </w:r>
      <w:r>
        <w:rPr>
          <w:i/>
          <w:lang w:val="en-US"/>
        </w:rPr>
        <w:t>BWP-UplinkCommon</w:t>
      </w:r>
      <w:r>
        <w:rPr>
          <w:lang w:val="en-US"/>
        </w:rPr>
        <w:t xml:space="preserve"> and </w:t>
      </w:r>
      <w:r>
        <w:rPr>
          <w:i/>
          <w:lang w:val="en-US"/>
        </w:rPr>
        <w:t xml:space="preserve">BWP-UplinkDedicated </w:t>
      </w:r>
      <w:r>
        <w:rPr>
          <w:lang w:val="en-US"/>
        </w:rPr>
        <w:t>for the UL BWP</w:t>
      </w:r>
      <w:r>
        <w:t xml:space="preserve"> </w:t>
      </w:r>
      <w:r>
        <w:rPr>
          <w:lang w:val="en-US"/>
        </w:rPr>
        <w:t>[12, TS 38.331]</w:t>
      </w:r>
    </w:p>
    <w:p>
      <w:pPr>
        <w:rPr>
          <w:sz w:val="24"/>
          <w:lang w:eastAsia="zh-TW"/>
        </w:rPr>
      </w:pPr>
      <w:r>
        <w:rPr>
          <w:rFonts w:eastAsia="MS Mincho"/>
        </w:rPr>
        <w:t xml:space="preserve">For unpaired spectrum operation, a DL BWP from the set of configured DL BWPs with index provided by </w:t>
      </w:r>
      <w:r>
        <w:rPr>
          <w:i/>
        </w:rPr>
        <w:t>BWP-Id</w:t>
      </w:r>
      <w:r>
        <w:rPr>
          <w:lang w:eastAsia="ja-JP"/>
        </w:rPr>
        <w:t xml:space="preserve"> </w:t>
      </w:r>
      <w:r>
        <w:rPr>
          <w:rFonts w:eastAsia="MS Mincho"/>
        </w:rPr>
        <w:t xml:space="preserve">is linked with an UL BWP from the set of configured UL BWPs with index provided by </w:t>
      </w:r>
      <w:r>
        <w:rPr>
          <w:i/>
        </w:rPr>
        <w:t>BWP-Id</w:t>
      </w:r>
      <w:r>
        <w:rPr>
          <w:lang w:eastAsia="ja-JP"/>
        </w:rPr>
        <w:t xml:space="preserve"> </w:t>
      </w:r>
      <w:r>
        <w:rPr>
          <w:rFonts w:eastAsia="MS Mincho"/>
        </w:rPr>
        <w:t>when the DL BWP index and the UL BWP index are same.</w:t>
      </w:r>
      <w:r>
        <w:rPr>
          <w:lang w:eastAsia="ja-JP"/>
        </w:rPr>
        <w:t xml:space="preserve"> For unpaired spectrum operation, a UE does not expect to receive a configuration where the center frequency for a DL BWP is different than the center frequency for an UL BWP when the </w:t>
      </w:r>
      <w:r>
        <w:rPr>
          <w:i/>
        </w:rPr>
        <w:t>BWP-Id</w:t>
      </w:r>
      <w:r>
        <w:rPr>
          <w:lang w:eastAsia="ja-JP"/>
        </w:rPr>
        <w:t xml:space="preserve"> of the DL BWP is same as the </w:t>
      </w:r>
      <w:r>
        <w:rPr>
          <w:i/>
        </w:rPr>
        <w:t>BWP-Id</w:t>
      </w:r>
      <w:r>
        <w:rPr>
          <w:lang w:eastAsia="ja-JP"/>
        </w:rPr>
        <w:t xml:space="preserve"> of the UL BWP.</w:t>
      </w:r>
    </w:p>
    <w:p>
      <w:pPr>
        <w:tabs>
          <w:tab w:val="left" w:pos="720"/>
        </w:tabs>
        <w:rPr>
          <w:rFonts w:eastAsia="MS Mincho"/>
        </w:rPr>
      </w:pPr>
      <w:bookmarkStart w:id="4" w:name="_Hlk535002764"/>
      <w:r>
        <w:rPr>
          <w:rFonts w:eastAsia="MS Mincho"/>
        </w:rPr>
        <w:t xml:space="preserve">For each DL BWP in a set of DL BWPs of the PCell, or of the PUCCH-SCell, a UE can be configured CORESETs for every type of CSS sets and for USS as described in Subclause 10.1. The </w:t>
      </w:r>
      <w:r>
        <w:rPr>
          <w:lang w:val="en-US" w:eastAsia="zh-CN"/>
        </w:rPr>
        <w:t xml:space="preserve">UE does not expect to be configured without a CSS set on the PCell, or on the </w:t>
      </w:r>
      <w:r>
        <w:rPr>
          <w:rFonts w:eastAsia="MS Mincho"/>
        </w:rPr>
        <w:t>PUCCH-SCell</w:t>
      </w:r>
      <w:r>
        <w:rPr>
          <w:lang w:val="en-US" w:eastAsia="zh-CN"/>
        </w:rPr>
        <w:t>, of the MCG in the active DL BWP.</w:t>
      </w:r>
    </w:p>
    <w:bookmarkEnd w:id="4"/>
    <w:p>
      <w:pPr>
        <w:textAlignment w:val="bottom"/>
        <w:rPr>
          <w:lang w:val="en-US"/>
        </w:rPr>
      </w:pPr>
      <w:r>
        <w:t xml:space="preserve">If a UE is provided </w:t>
      </w:r>
      <w:r>
        <w:rPr>
          <w:i/>
        </w:rPr>
        <w:t>controlResourceSetZero</w:t>
      </w:r>
      <w:r>
        <w:t xml:space="preserve"> and </w:t>
      </w:r>
      <w:r>
        <w:rPr>
          <w:i/>
        </w:rPr>
        <w:t>searchSpaceZero</w:t>
      </w:r>
      <w:r>
        <w:t xml:space="preserve"> in </w:t>
      </w:r>
      <w:r>
        <w:rPr>
          <w:i/>
          <w:iCs/>
        </w:rPr>
        <w:t>PDCCH-Config</w:t>
      </w:r>
      <w:r>
        <w:rPr>
          <w:rFonts w:eastAsia="宋体"/>
          <w:i/>
          <w:iCs/>
          <w:lang w:eastAsia="zh-CN"/>
        </w:rPr>
        <w:t>SIB1</w:t>
      </w:r>
      <w:r>
        <w:rPr>
          <w:rFonts w:eastAsia="宋体"/>
          <w:iCs/>
          <w:lang w:eastAsia="zh-CN"/>
        </w:rPr>
        <w:t xml:space="preserve"> or</w:t>
      </w:r>
      <w:r>
        <w:rPr>
          <w:iCs/>
        </w:rPr>
        <w:t xml:space="preserve"> </w:t>
      </w:r>
      <w:r>
        <w:rPr>
          <w:i/>
          <w:iCs/>
        </w:rPr>
        <w:t>PDCCH-Config</w:t>
      </w:r>
      <w:r>
        <w:rPr>
          <w:rFonts w:hint="eastAsia" w:eastAsia="宋体"/>
          <w:i/>
          <w:iCs/>
          <w:lang w:eastAsia="zh-CN"/>
        </w:rPr>
        <w:t>Common</w:t>
      </w:r>
      <w:r>
        <w:rPr>
          <w:iCs/>
        </w:rPr>
        <w:t xml:space="preserve">, the UE determines a CORESET for a </w:t>
      </w:r>
      <w:r>
        <w:t>search space</w:t>
      </w:r>
      <w:r>
        <w:rPr>
          <w:lang w:val="en-US"/>
        </w:rPr>
        <w:t xml:space="preserve"> set from </w:t>
      </w:r>
      <w:r>
        <w:rPr>
          <w:i/>
          <w:lang w:val="en-US"/>
        </w:rPr>
        <w:t>controlResourcesetZero</w:t>
      </w:r>
      <w:r>
        <w:rPr>
          <w:lang w:val="en-US"/>
        </w:rPr>
        <w:t xml:space="preserve"> as described in Subclause 13 and for Tables 13-1 through 13-10, and determines corresponding PDCCH monitoring occasions as described in Subclause 13 and for Tables 13-11 through 13-15. If </w:t>
      </w:r>
      <w:r>
        <w:t>the active DL BWP is not the initial DL BWP,</w:t>
      </w:r>
      <w:r>
        <w:rPr>
          <w:iCs/>
        </w:rPr>
        <w:t xml:space="preserve"> </w:t>
      </w:r>
      <w:r>
        <w:rPr>
          <w:lang w:val="en-US"/>
        </w:rPr>
        <w:t>t</w:t>
      </w:r>
      <w:r>
        <w:rPr>
          <w:iCs/>
        </w:rPr>
        <w:t xml:space="preserve">he UE </w:t>
      </w:r>
      <w:r>
        <w:rPr>
          <w:lang w:val="en-US"/>
        </w:rPr>
        <w:t>determines PDCCH monitoring occasions</w:t>
      </w:r>
      <w:r>
        <w:rPr>
          <w:iCs/>
        </w:rPr>
        <w:t xml:space="preserve"> for the </w:t>
      </w:r>
      <w:r>
        <w:t>search space</w:t>
      </w:r>
      <w:r>
        <w:rPr>
          <w:lang w:val="en-US"/>
        </w:rPr>
        <w:t xml:space="preserve"> set </w:t>
      </w:r>
      <w:r>
        <w:t xml:space="preserve">only </w:t>
      </w:r>
      <w:r>
        <w:rPr>
          <w:lang w:val="en-US"/>
        </w:rPr>
        <w:t>i</w:t>
      </w:r>
      <w:r>
        <w:t xml:space="preserve">f the CORESET bandwidth </w:t>
      </w:r>
      <w:r>
        <w:rPr>
          <w:iCs/>
        </w:rPr>
        <w:t>is within the active DL BWP and the active DL BWP has same SCS configuration and same cyclic prefix as the initial DL BWP</w:t>
      </w:r>
      <w:r>
        <w:t>.</w:t>
      </w:r>
    </w:p>
    <w:p>
      <w:pPr>
        <w:tabs>
          <w:tab w:val="left" w:pos="720"/>
        </w:tabs>
      </w:pPr>
      <w:r>
        <w:rPr>
          <w:rFonts w:eastAsia="MS Mincho"/>
        </w:rPr>
        <w:t xml:space="preserve">For each UL BWP in a set of UL BWPs of the PCell or of the PUCCH-SCell, the UE is configured resource sets for PUCCH transmissions as described in Subclause 9.2.1. </w:t>
      </w:r>
    </w:p>
    <w:p>
      <w:r>
        <w:t xml:space="preserve">A UE receives PDCCH and PDSCH in a DL BWP according to a configured SCS and CP length for the DL BWP. A UE transmits PUCCH and PUSCH in an UL BWP according to a configured SCS and CP length for the UL BWP. </w:t>
      </w:r>
    </w:p>
    <w:p>
      <w:pPr>
        <w:rPr>
          <w:lang w:val="en-US"/>
        </w:rPr>
      </w:pPr>
      <w:r>
        <w:rPr>
          <w:lang w:eastAsia="ja-JP"/>
        </w:rPr>
        <w:t xml:space="preserve">If a bandwidth part indicator field is configured in DCI format 1_1, the bandwidth part indicator field value indicates the active DL BWP, from the configured DL BWP set, for DL receptions as described in [5, TS 38.212]. If a bandwidth part indicator field is configured in DCI format 0_1, the bandwidth part indicator field value indicates the active UL BWP, from the configured UL BWP set, for UL transmissions as described in [5, TS 38.212]. </w:t>
      </w:r>
      <w:r>
        <w:t xml:space="preserve">If a bandwidth part indicator field </w:t>
      </w:r>
      <w:r>
        <w:rPr>
          <w:lang w:eastAsia="ja-JP"/>
        </w:rPr>
        <w:t>is configured in DCI format 0_1 or DCI format 1_1 and</w:t>
      </w:r>
      <w:r>
        <w:t xml:space="preserve"> indicates an UL BWP or a DL BWP different from the active UL BWP or DL BWP, respectively, the UE shall</w:t>
      </w:r>
    </w:p>
    <w:p>
      <w:pPr>
        <w:pStyle w:val="75"/>
      </w:pPr>
      <w:r>
        <w:t>-</w:t>
      </w:r>
      <w:r>
        <w:tab/>
      </w:r>
      <w:r>
        <w:t>for each information field in the received DCI format 0_1 or DCI format 1_1</w:t>
      </w:r>
    </w:p>
    <w:p>
      <w:pPr>
        <w:pStyle w:val="76"/>
      </w:pPr>
      <w:r>
        <w:t>-</w:t>
      </w:r>
      <w:r>
        <w:tab/>
      </w:r>
      <w:r>
        <w:t>if the size of the information field is smaller than the one required for the DCI format 0_1 or DCI format 1_1 interpretation for the UL BWP or DL BWP that is indicated by the bandwidth part indicator, respectively, the UE prepend</w:t>
      </w:r>
      <w:r>
        <w:rPr>
          <w:lang w:val="en-US"/>
        </w:rPr>
        <w:t>s</w:t>
      </w:r>
      <w:r>
        <w:t xml:space="preserve"> zeros to the information field until its size is the one required for the interpretation of the information field for the UL BWP or DL BWP prior to interpreting the DCI format 0_1 or DCI format 1_1 information fields, respectively</w:t>
      </w:r>
    </w:p>
    <w:p>
      <w:pPr>
        <w:pStyle w:val="76"/>
      </w:pPr>
      <w:r>
        <w:t>-</w:t>
      </w:r>
      <w:r>
        <w:tab/>
      </w:r>
      <w:r>
        <w:t>if the size of the information field is larger than the one required for the DCI format 0_1 or DCI format 1_1 interpretation for the UL BWP or DL BWP that is indicated by the bandwidth part indicator, respectively, the UE use</w:t>
      </w:r>
      <w:r>
        <w:rPr>
          <w:lang w:val="en-US"/>
        </w:rPr>
        <w:t>s</w:t>
      </w:r>
      <w:r>
        <w:t xml:space="preserve"> a number of least significant bits of DCI format 0_1 or DCI format 1_1 equal to the one required for the UL BWP or DL BWP indicated by bandwidth part indicator prior to interpreting the DCI format 0_1 or DCI format 1_1 information fields, respectively</w:t>
      </w:r>
    </w:p>
    <w:p>
      <w:pPr>
        <w:pStyle w:val="75"/>
      </w:pPr>
      <w:r>
        <w:t>-</w:t>
      </w:r>
      <w:r>
        <w:tab/>
      </w:r>
      <w:r>
        <w:t>set the active UL BWP or DL BWP to the UL BWP or DL BWP indicated by the bandwidth part indicator in the DCI format 0_1 or DCI format 1_1, respectively</w:t>
      </w:r>
    </w:p>
    <w:p>
      <w:pPr>
        <w:pStyle w:val="75"/>
        <w:ind w:left="0" w:firstLine="0"/>
      </w:pPr>
      <w:r>
        <w:t xml:space="preserve">A UE does not expect to detect a DCI format 1_1 or </w:t>
      </w:r>
      <w:r>
        <w:rPr>
          <w:lang w:val="en-US"/>
        </w:rPr>
        <w:t xml:space="preserve">a </w:t>
      </w:r>
      <w:r>
        <w:t xml:space="preserve">DCI format 0_1 indicating </w:t>
      </w:r>
      <w:r>
        <w:rPr>
          <w:lang w:val="en-US"/>
        </w:rPr>
        <w:t xml:space="preserve">respectively an </w:t>
      </w:r>
      <w:r>
        <w:t xml:space="preserve">active DL </w:t>
      </w:r>
      <w:r>
        <w:rPr>
          <w:lang w:val="en-US"/>
        </w:rPr>
        <w:t xml:space="preserve">BWP </w:t>
      </w:r>
      <w:r>
        <w:t xml:space="preserve">or </w:t>
      </w:r>
      <w:r>
        <w:rPr>
          <w:lang w:val="en-US"/>
        </w:rPr>
        <w:t xml:space="preserve">an active </w:t>
      </w:r>
      <w:r>
        <w:t xml:space="preserve">UL BWP change with the </w:t>
      </w:r>
      <w:r>
        <w:rPr>
          <w:lang w:val="en-US"/>
        </w:rPr>
        <w:t xml:space="preserve">corresponding </w:t>
      </w:r>
      <w:r>
        <w:t xml:space="preserve">time domain resource assignment field providing a slot offset </w:t>
      </w:r>
      <w:r>
        <w:rPr>
          <w:lang w:val="en-US"/>
        </w:rPr>
        <w:t xml:space="preserve">value </w:t>
      </w:r>
      <w:r>
        <w:t xml:space="preserve">for </w:t>
      </w:r>
      <w:r>
        <w:rPr>
          <w:lang w:val="en-US"/>
        </w:rPr>
        <w:t>a</w:t>
      </w:r>
      <w:r>
        <w:t xml:space="preserve"> PDSCH reception or PUSCH transmission that is smaller than a d</w:t>
      </w:r>
      <w:r>
        <w:rPr>
          <w:lang w:val="en-US"/>
        </w:rPr>
        <w:t>elay</w:t>
      </w:r>
      <w:r>
        <w:t xml:space="preserve"> </w:t>
      </w:r>
      <w:r>
        <w:rPr>
          <w:lang w:val="en-US"/>
        </w:rPr>
        <w:t xml:space="preserve">required by the UE for an </w:t>
      </w:r>
      <w:r>
        <w:t xml:space="preserve">active DL </w:t>
      </w:r>
      <w:r>
        <w:rPr>
          <w:lang w:val="en-US"/>
        </w:rPr>
        <w:t xml:space="preserve">BWP change </w:t>
      </w:r>
      <w:r>
        <w:t>or UL BWP change [</w:t>
      </w:r>
      <w:r>
        <w:rPr>
          <w:lang w:val="en-US"/>
        </w:rPr>
        <w:t xml:space="preserve">10, </w:t>
      </w:r>
      <w:r>
        <w:t xml:space="preserve">TS 38.133]. </w:t>
      </w:r>
    </w:p>
    <w:p>
      <w:pPr>
        <w:pStyle w:val="75"/>
        <w:ind w:left="0" w:firstLine="0"/>
      </w:pPr>
      <w:r>
        <w:t xml:space="preserve">If a UE detects </w:t>
      </w:r>
      <w:r>
        <w:rPr>
          <w:lang w:val="en-US"/>
        </w:rPr>
        <w:t xml:space="preserve">a </w:t>
      </w:r>
      <w:r>
        <w:t xml:space="preserve">DCI format 1_1 indicating </w:t>
      </w:r>
      <w:r>
        <w:rPr>
          <w:lang w:val="en-US"/>
        </w:rPr>
        <w:t xml:space="preserve">an </w:t>
      </w:r>
      <w:r>
        <w:t xml:space="preserve">active DL BWP change for a cell, the UE is not required to receive or transmit in the cell during a time duration from the end of the third symbol of a slot where the UE receives the PDCCH that includes the DCI format 1_1 in a scheduling cell </w:t>
      </w:r>
      <w:r>
        <w:rPr>
          <w:lang w:val="en-US"/>
        </w:rPr>
        <w:t>until</w:t>
      </w:r>
      <w:r>
        <w:t xml:space="preserve"> the beginning of a slot indicated by the slot offset </w:t>
      </w:r>
      <w:r>
        <w:rPr>
          <w:lang w:val="en-US"/>
        </w:rPr>
        <w:t xml:space="preserve">value </w:t>
      </w:r>
      <w:r>
        <w:t>of the time domain resource assignment field in the DCI format 1_1.</w:t>
      </w:r>
    </w:p>
    <w:p>
      <w:r>
        <w:t xml:space="preserve">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beginning of a slot indicated by the slot offset </w:t>
      </w:r>
      <w:r>
        <w:rPr>
          <w:lang w:val="en-US"/>
        </w:rPr>
        <w:t xml:space="preserve">value </w:t>
      </w:r>
      <w:r>
        <w:t>of the time domain resource assignment field in the DCI format 0_1.</w:t>
      </w:r>
    </w:p>
    <w:p>
      <w:r>
        <w:rPr>
          <w:lang w:eastAsia="zh-TW"/>
        </w:rPr>
        <w:t>A UE does not expect to detect a DCI format 1_1 indicating an active DL BWP change or a DCI format 0_1 indicating an active UL BWP change for a scheduled cell within FR1 (or FR2) in a slot other than the first slot of a set of slots for the DL SCS of the scheduling cell that overlaps</w:t>
      </w:r>
      <w:r>
        <w:t xml:space="preserve"> </w:t>
      </w:r>
      <w:r>
        <w:rPr>
          <w:lang w:eastAsia="zh-TW"/>
        </w:rPr>
        <w:t xml:space="preserve">with </w:t>
      </w:r>
      <w:r>
        <w:t xml:space="preserve">a </w:t>
      </w:r>
      <w:r>
        <w:rPr>
          <w:lang w:val="en-US"/>
        </w:rPr>
        <w:t>time duration</w:t>
      </w:r>
      <w:r>
        <w:t xml:space="preserve"> where </w:t>
      </w:r>
      <w:r>
        <w:rPr>
          <w:lang w:val="en-US"/>
        </w:rPr>
        <w:t xml:space="preserve">the UE is not required to receive or transmit for an </w:t>
      </w:r>
      <w:r>
        <w:t xml:space="preserve">active BWP change </w:t>
      </w:r>
      <w:r>
        <w:rPr>
          <w:lang w:eastAsia="zh-TW"/>
        </w:rPr>
        <w:t>in a different cell from the scheduled cell within FR1 (or FR2).</w:t>
      </w:r>
    </w:p>
    <w:p>
      <w:pPr>
        <w:rPr>
          <w:lang w:eastAsia="ja-JP"/>
        </w:rPr>
      </w:pPr>
      <w:r>
        <w:rPr>
          <w:lang w:eastAsia="zh-TW"/>
        </w:rPr>
        <w:t>A UE expects to detect a DCI format 0_1 indicating active UL BWP change, or a DCI format 1_1 indicating active DL BWP change, only if a corresponding PDCCH is received within the first 3 symbols of a slot.</w:t>
      </w:r>
      <w:r>
        <w:rPr>
          <w:lang w:eastAsia="ja-JP"/>
        </w:rPr>
        <w:t xml:space="preserve"> </w:t>
      </w:r>
    </w:p>
    <w:p>
      <w:pPr>
        <w:rPr>
          <w:lang w:eastAsia="ja-JP"/>
        </w:rPr>
      </w:pPr>
      <w:r>
        <w:rPr>
          <w:lang w:eastAsia="ja-JP"/>
        </w:rPr>
        <w:t xml:space="preserve">For a serving cell, a UE can be provided by </w:t>
      </w:r>
      <w:r>
        <w:rPr>
          <w:i/>
        </w:rPr>
        <w:t>defaultDownlinkBWP-Id</w:t>
      </w:r>
      <w:r>
        <w:rPr>
          <w:lang w:eastAsia="ja-JP"/>
        </w:rPr>
        <w:t xml:space="preserve"> a default DL BWP among the configured DL BWPs. If a UE is not provided a default DL BWP by </w:t>
      </w:r>
      <w:r>
        <w:rPr>
          <w:i/>
        </w:rPr>
        <w:t>defaultDownlinkBWP-Id</w:t>
      </w:r>
      <w:r>
        <w:rPr>
          <w:lang w:eastAsia="ja-JP"/>
        </w:rPr>
        <w:t xml:space="preserve">, the default DL BWP is the initial DL BWP. </w:t>
      </w:r>
    </w:p>
    <w:p>
      <w:pPr>
        <w:rPr>
          <w:lang w:eastAsia="ko-KR"/>
        </w:rPr>
      </w:pPr>
      <w:r>
        <w:rPr>
          <w:rFonts w:hint="eastAsia"/>
          <w:lang w:eastAsia="ko-KR"/>
        </w:rPr>
        <w:t xml:space="preserve">If a UE is </w:t>
      </w:r>
      <w:r>
        <w:rPr>
          <w:lang w:eastAsia="ko-KR"/>
        </w:rPr>
        <w:t>provided</w:t>
      </w:r>
      <w:r>
        <w:rPr>
          <w:rFonts w:hint="eastAsia"/>
          <w:lang w:eastAsia="ko-KR"/>
        </w:rPr>
        <w:t xml:space="preserve"> </w:t>
      </w:r>
      <w:r>
        <w:rPr>
          <w:lang w:eastAsia="ja-JP"/>
        </w:rPr>
        <w:t xml:space="preserve">by </w:t>
      </w:r>
      <w:r>
        <w:rPr>
          <w:i/>
        </w:rPr>
        <w:t>bwp-InactivityTimer</w:t>
      </w:r>
      <w:r>
        <w:rPr>
          <w:lang w:eastAsia="ja-JP"/>
        </w:rPr>
        <w:t xml:space="preserve"> a timer value for the serving cell </w:t>
      </w:r>
      <w:r>
        <w:t>[</w:t>
      </w:r>
      <w:r>
        <w:rPr>
          <w:lang w:val="en-US"/>
        </w:rPr>
        <w:t>11, TS 38.321</w:t>
      </w:r>
      <w:r>
        <w:t>] and</w:t>
      </w:r>
      <w:r>
        <w:rPr>
          <w:rFonts w:hint="eastAsia"/>
          <w:lang w:eastAsia="ko-KR"/>
        </w:rPr>
        <w:t xml:space="preserve"> the timer is running, the UE </w:t>
      </w:r>
      <w:r>
        <w:rPr>
          <w:lang w:eastAsia="ko-KR"/>
        </w:rPr>
        <w:t>decrements</w:t>
      </w:r>
      <w:r>
        <w:rPr>
          <w:rFonts w:hint="eastAsia"/>
          <w:lang w:eastAsia="ko-KR"/>
        </w:rPr>
        <w:t xml:space="preserve"> the timer </w:t>
      </w:r>
      <w:r>
        <w:rPr>
          <w:lang w:eastAsia="ja-JP"/>
        </w:rPr>
        <w:t>at the end of a subframe for FR1 or at the end of a half subframe for FR2 if the restarting conditions in [11, TS 38.321] are not met during the interval of the subframe for FR1 or of the half subframe for FR2.</w:t>
      </w:r>
    </w:p>
    <w:p>
      <w:r>
        <w:t xml:space="preserve">For a cell where a UE changes an active DL BWP due to </w:t>
      </w:r>
      <w:r>
        <w:rPr>
          <w:lang w:val="en-US"/>
        </w:rPr>
        <w:t xml:space="preserve">a </w:t>
      </w:r>
      <w:r>
        <w:t xml:space="preserve">BWP inactivity timer expiration and for accommodating a delay in the active </w:t>
      </w:r>
      <w:r>
        <w:rPr>
          <w:lang w:val="en-US"/>
        </w:rPr>
        <w:t xml:space="preserve">DL </w:t>
      </w:r>
      <w:r>
        <w:t xml:space="preserve">BWP </w:t>
      </w:r>
      <w:r>
        <w:rPr>
          <w:lang w:val="en-US"/>
        </w:rPr>
        <w:t>change or the active UL BWP change</w:t>
      </w:r>
      <w:r>
        <w:t xml:space="preserve"> required by the UE [10, TS 38.133], the UE is not required to receive or transmit in the cell during a time duration from the beginning of a subframe for FR1</w:t>
      </w:r>
      <w:r>
        <w:rPr>
          <w:lang w:val="en-US"/>
        </w:rPr>
        <w:t>,</w:t>
      </w:r>
      <w:r>
        <w:t xml:space="preserve"> or of half of a subframe for FR2</w:t>
      </w:r>
      <w:r>
        <w:rPr>
          <w:lang w:val="en-US"/>
        </w:rPr>
        <w:t>, that is</w:t>
      </w:r>
      <w:r>
        <w:t xml:space="preserve"> immediately after the BWP inactivity timer expires </w:t>
      </w:r>
      <w:r>
        <w:rPr>
          <w:lang w:val="en-US"/>
        </w:rPr>
        <w:t>until</w:t>
      </w:r>
      <w:r>
        <w:t xml:space="preserve"> </w:t>
      </w:r>
      <w:r>
        <w:rPr>
          <w:lang w:val="en-US"/>
        </w:rPr>
        <w:t>the</w:t>
      </w:r>
      <w:r>
        <w:t xml:space="preserve"> beginning of a slot </w:t>
      </w:r>
      <w:r>
        <w:rPr>
          <w:lang w:val="en-US"/>
        </w:rPr>
        <w:t xml:space="preserve">where </w:t>
      </w:r>
      <w:r>
        <w:t>the UE can receive or transmit.</w:t>
      </w:r>
    </w:p>
    <w:p>
      <w:pPr>
        <w:pStyle w:val="75"/>
        <w:ind w:left="0" w:firstLine="0"/>
      </w:pPr>
      <w:r>
        <w:rPr>
          <w:lang w:eastAsia="zh-TW"/>
        </w:rPr>
        <w:t>When a UE'</w:t>
      </w:r>
      <w:r>
        <w:rPr>
          <w:lang w:val="en-US" w:eastAsia="zh-TW"/>
        </w:rPr>
        <w:t>s</w:t>
      </w:r>
      <w:r>
        <w:rPr>
          <w:lang w:eastAsia="zh-TW"/>
        </w:rPr>
        <w:t xml:space="preserve"> BWP inactivity timer</w:t>
      </w:r>
      <w:r>
        <w:rPr>
          <w:lang w:val="en-US" w:eastAsia="zh-TW"/>
        </w:rPr>
        <w:t xml:space="preserve"> </w:t>
      </w:r>
      <w:r>
        <w:rPr>
          <w:lang w:eastAsia="zh-TW"/>
        </w:rPr>
        <w:t xml:space="preserve">for a cell expires within </w:t>
      </w:r>
      <w:r>
        <w:t xml:space="preserve">a </w:t>
      </w:r>
      <w:r>
        <w:rPr>
          <w:lang w:val="en-US"/>
        </w:rPr>
        <w:t>time duration</w:t>
      </w:r>
      <w:r>
        <w:t xml:space="preserve"> </w:t>
      </w:r>
      <w:r>
        <w:rPr>
          <w:lang w:val="en-US"/>
        </w:rPr>
        <w:t xml:space="preserve">where the UE is not required to receive or transmit for an </w:t>
      </w:r>
      <w:r>
        <w:t xml:space="preserve">active </w:t>
      </w:r>
      <w:r>
        <w:rPr>
          <w:lang w:val="en-US"/>
        </w:rPr>
        <w:t xml:space="preserve">UL/DL </w:t>
      </w:r>
      <w:r>
        <w:t>BWP change</w:t>
      </w:r>
      <w:r>
        <w:rPr>
          <w:lang w:eastAsia="zh-TW"/>
        </w:rPr>
        <w:t xml:space="preserve"> in the </w:t>
      </w:r>
      <w:r>
        <w:rPr>
          <w:lang w:val="en-US" w:eastAsia="zh-TW"/>
        </w:rPr>
        <w:t>cell</w:t>
      </w:r>
      <w:r>
        <w:rPr>
          <w:lang w:eastAsia="zh-TW"/>
        </w:rPr>
        <w:t xml:space="preserve"> or </w:t>
      </w:r>
      <w:r>
        <w:rPr>
          <w:lang w:val="en-US" w:eastAsia="zh-TW"/>
        </w:rPr>
        <w:t xml:space="preserve">in </w:t>
      </w:r>
      <w:r>
        <w:rPr>
          <w:lang w:eastAsia="zh-TW"/>
        </w:rPr>
        <w:t xml:space="preserve">a different cell, the UE delays the active </w:t>
      </w:r>
      <w:r>
        <w:rPr>
          <w:lang w:val="en-US" w:eastAsia="zh-TW"/>
        </w:rPr>
        <w:t xml:space="preserve">UL/DL </w:t>
      </w:r>
      <w:r>
        <w:rPr>
          <w:lang w:eastAsia="zh-TW"/>
        </w:rPr>
        <w:t xml:space="preserve">BWP change triggered by the BWP inactivity timer expiration </w:t>
      </w:r>
      <w:r>
        <w:rPr>
          <w:lang w:val="en-US" w:eastAsia="zh-TW"/>
        </w:rPr>
        <w:t>until</w:t>
      </w:r>
      <w:r>
        <w:rPr>
          <w:lang w:eastAsia="zh-TW"/>
        </w:rPr>
        <w:t xml:space="preserve"> a subframe for FR1 or half a subframe for FR2</w:t>
      </w:r>
      <w:r>
        <w:rPr>
          <w:lang w:val="en-US" w:eastAsia="zh-TW"/>
        </w:rPr>
        <w:t xml:space="preserve"> that is</w:t>
      </w:r>
      <w:r>
        <w:rPr>
          <w:lang w:eastAsia="zh-TW"/>
        </w:rPr>
        <w:t xml:space="preserve"> immediately after the UE completes the active </w:t>
      </w:r>
      <w:r>
        <w:rPr>
          <w:lang w:val="en-US" w:eastAsia="zh-TW"/>
        </w:rPr>
        <w:t>UL/</w:t>
      </w:r>
      <w:r>
        <w:rPr>
          <w:lang w:eastAsia="zh-TW"/>
        </w:rPr>
        <w:t xml:space="preserve">DL </w:t>
      </w:r>
      <w:r>
        <w:rPr>
          <w:lang w:val="en-US" w:eastAsia="zh-TW"/>
        </w:rPr>
        <w:t>BWP</w:t>
      </w:r>
      <w:r>
        <w:rPr>
          <w:lang w:eastAsia="zh-TW"/>
        </w:rPr>
        <w:t xml:space="preserve"> change in the cell or in the different cell</w:t>
      </w:r>
      <w:r>
        <w:t>.</w:t>
      </w:r>
    </w:p>
    <w:p>
      <w:r>
        <w:rPr>
          <w:lang w:eastAsia="ja-JP"/>
        </w:rPr>
        <w:t xml:space="preserve">If a UE is provided by </w:t>
      </w:r>
      <w:r>
        <w:rPr>
          <w:i/>
        </w:rPr>
        <w:t>firstActiveDownlinkBWP-Id</w:t>
      </w:r>
      <w:r>
        <w:rPr>
          <w:lang w:eastAsia="ja-JP"/>
        </w:rPr>
        <w:t xml:space="preserve"> a first active DL BWP and by </w:t>
      </w:r>
      <w:r>
        <w:rPr>
          <w:i/>
        </w:rPr>
        <w:t>firstActiveUplinkBWP-Id</w:t>
      </w:r>
      <w:r>
        <w:rPr>
          <w:lang w:eastAsia="ja-JP"/>
        </w:rPr>
        <w:t xml:space="preserve"> a first active UL BWP on a carrier of a secondary cell, the UE uses the indicated DL BWP and the indicated UL BWP as the respective first active DL BWP on the secondary cell and first active UL BWP on the carrier of the secondary cell. </w:t>
      </w:r>
    </w:p>
    <w:p>
      <w:pPr>
        <w:spacing w:after="0"/>
        <w:rPr>
          <w:lang w:eastAsia="zh-TW"/>
        </w:rPr>
      </w:pPr>
      <w:del w:id="0" w:author="ZTE" w:date="2019-09-26T11:00:00Z">
        <w:r>
          <w:rPr>
            <w:lang w:eastAsia="zh-TW"/>
          </w:rPr>
          <w:delText xml:space="preserve">For paired spectrum operation, </w:delText>
        </w:r>
      </w:del>
      <w:del w:id="1" w:author="ZTE" w:date="2019-09-26T11:00:01Z">
        <w:r>
          <w:rPr>
            <w:lang w:eastAsia="zh-TW"/>
          </w:rPr>
          <w:delText>a</w:delText>
        </w:r>
      </w:del>
      <w:ins w:id="2" w:author="ZTE" w:date="2019-09-26T11:00:02Z">
        <w:r>
          <w:rPr>
            <w:rFonts w:hint="eastAsia"/>
            <w:lang w:val="en-US" w:eastAsia="zh-CN"/>
          </w:rPr>
          <w:t>A</w:t>
        </w:r>
      </w:ins>
      <w:r>
        <w:rPr>
          <w:lang w:eastAsia="zh-TW"/>
        </w:rPr>
        <w:t xml:space="preserve"> UE does not expect to transmit a PUCCH with HARQ-ACK information </w:t>
      </w:r>
      <w:r>
        <w:rPr>
          <w:rFonts w:eastAsia="Malgun Gothic"/>
          <w:lang w:eastAsia="zh-TW"/>
        </w:rPr>
        <w:t xml:space="preserve">on a PUCCH resource indicated by a DCI format 1_0 or a DCI format 1_1 </w:t>
      </w:r>
      <w:r>
        <w:rPr>
          <w:lang w:eastAsia="zh-TW"/>
        </w:rPr>
        <w:t>if the UE changes its active UL BWP on the PCell or PUCCH-SCell between a time of a detection of the DCI format 1_0 or the DCI format 1_1 and a time of a corresponding PUCCH transmission with HARQ-ACK information.</w:t>
      </w:r>
    </w:p>
    <w:p>
      <w:pPr>
        <w:spacing w:after="60"/>
        <w:rPr>
          <w:lang w:eastAsia="ja-JP"/>
        </w:rPr>
      </w:pPr>
    </w:p>
    <w:p>
      <w:pPr>
        <w:spacing w:after="60"/>
        <w:rPr>
          <w:lang w:eastAsia="ja-JP"/>
        </w:rPr>
      </w:pPr>
      <w:r>
        <w:rPr>
          <w:lang w:eastAsia="ja-JP"/>
        </w:rPr>
        <w:t xml:space="preserve">A UE does not expect to monitor PDCCH when the UE performs RRM measurements </w:t>
      </w:r>
      <w:r>
        <w:t xml:space="preserve">[10, TS 38.133] </w:t>
      </w:r>
      <w:r>
        <w:rPr>
          <w:lang w:eastAsia="ja-JP"/>
        </w:rPr>
        <w:t>over a bandwidth that is not within the active DL BWP for the UE.</w:t>
      </w:r>
    </w:p>
    <w:p>
      <w:pPr>
        <w:spacing w:after="60"/>
        <w:rPr>
          <w:rFonts w:eastAsia="MS Mincho"/>
          <w:lang w:eastAsia="ja-JP"/>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7C2D14"/>
    <w:multiLevelType w:val="multilevel"/>
    <w:tmpl w:val="1A7C2D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CF9170D"/>
    <w:multiLevelType w:val="multilevel"/>
    <w:tmpl w:val="2CF9170D"/>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5B"/>
    <w:rsid w:val="00022E4A"/>
    <w:rsid w:val="000841D5"/>
    <w:rsid w:val="000A6394"/>
    <w:rsid w:val="000B7FED"/>
    <w:rsid w:val="000C038A"/>
    <w:rsid w:val="000C6598"/>
    <w:rsid w:val="000D658A"/>
    <w:rsid w:val="001217E7"/>
    <w:rsid w:val="00145D43"/>
    <w:rsid w:val="00156D04"/>
    <w:rsid w:val="00192C46"/>
    <w:rsid w:val="001A08B3"/>
    <w:rsid w:val="001A7B60"/>
    <w:rsid w:val="001B01C6"/>
    <w:rsid w:val="001B52F0"/>
    <w:rsid w:val="001B7A65"/>
    <w:rsid w:val="001E41F3"/>
    <w:rsid w:val="0026004D"/>
    <w:rsid w:val="002640DD"/>
    <w:rsid w:val="00275D12"/>
    <w:rsid w:val="00284FEB"/>
    <w:rsid w:val="002860C4"/>
    <w:rsid w:val="0028617A"/>
    <w:rsid w:val="002B5741"/>
    <w:rsid w:val="00305409"/>
    <w:rsid w:val="003609EF"/>
    <w:rsid w:val="0036231A"/>
    <w:rsid w:val="00374DD4"/>
    <w:rsid w:val="003E1A36"/>
    <w:rsid w:val="00410371"/>
    <w:rsid w:val="004242F1"/>
    <w:rsid w:val="00467711"/>
    <w:rsid w:val="00481E3D"/>
    <w:rsid w:val="004B75B7"/>
    <w:rsid w:val="004C35B1"/>
    <w:rsid w:val="0051580D"/>
    <w:rsid w:val="00547111"/>
    <w:rsid w:val="00592D74"/>
    <w:rsid w:val="005D10A1"/>
    <w:rsid w:val="005E2C44"/>
    <w:rsid w:val="00621188"/>
    <w:rsid w:val="006257ED"/>
    <w:rsid w:val="00695808"/>
    <w:rsid w:val="006B173C"/>
    <w:rsid w:val="006B46FB"/>
    <w:rsid w:val="006E21FB"/>
    <w:rsid w:val="00724D47"/>
    <w:rsid w:val="007866DF"/>
    <w:rsid w:val="00792342"/>
    <w:rsid w:val="007977A8"/>
    <w:rsid w:val="007B512A"/>
    <w:rsid w:val="007C2097"/>
    <w:rsid w:val="007D6A07"/>
    <w:rsid w:val="007F6497"/>
    <w:rsid w:val="007F7259"/>
    <w:rsid w:val="008040A8"/>
    <w:rsid w:val="008247D0"/>
    <w:rsid w:val="008279FA"/>
    <w:rsid w:val="008626E7"/>
    <w:rsid w:val="00870EE7"/>
    <w:rsid w:val="008863B9"/>
    <w:rsid w:val="008866D3"/>
    <w:rsid w:val="008A45A6"/>
    <w:rsid w:val="008F686C"/>
    <w:rsid w:val="009148DE"/>
    <w:rsid w:val="00941E30"/>
    <w:rsid w:val="009736F5"/>
    <w:rsid w:val="009777D9"/>
    <w:rsid w:val="00991B88"/>
    <w:rsid w:val="009A5753"/>
    <w:rsid w:val="009A579D"/>
    <w:rsid w:val="009E3297"/>
    <w:rsid w:val="009F734F"/>
    <w:rsid w:val="00A246B6"/>
    <w:rsid w:val="00A47E70"/>
    <w:rsid w:val="00A50CF0"/>
    <w:rsid w:val="00A5641C"/>
    <w:rsid w:val="00A7671C"/>
    <w:rsid w:val="00A950BB"/>
    <w:rsid w:val="00AA2CBC"/>
    <w:rsid w:val="00AC5820"/>
    <w:rsid w:val="00AD1CD8"/>
    <w:rsid w:val="00B258BB"/>
    <w:rsid w:val="00B41AF0"/>
    <w:rsid w:val="00B67B97"/>
    <w:rsid w:val="00B968C8"/>
    <w:rsid w:val="00BA3EC5"/>
    <w:rsid w:val="00BA51D9"/>
    <w:rsid w:val="00BB5DFC"/>
    <w:rsid w:val="00BD279D"/>
    <w:rsid w:val="00BD6BB8"/>
    <w:rsid w:val="00C60F0A"/>
    <w:rsid w:val="00C66BA2"/>
    <w:rsid w:val="00C87827"/>
    <w:rsid w:val="00C95985"/>
    <w:rsid w:val="00CC5026"/>
    <w:rsid w:val="00CC68D0"/>
    <w:rsid w:val="00D03F9A"/>
    <w:rsid w:val="00D06D51"/>
    <w:rsid w:val="00D23DD7"/>
    <w:rsid w:val="00D24991"/>
    <w:rsid w:val="00D50255"/>
    <w:rsid w:val="00D66520"/>
    <w:rsid w:val="00DE34CF"/>
    <w:rsid w:val="00E127BD"/>
    <w:rsid w:val="00E13F3D"/>
    <w:rsid w:val="00E34898"/>
    <w:rsid w:val="00E654B4"/>
    <w:rsid w:val="00EB09B7"/>
    <w:rsid w:val="00EE57A8"/>
    <w:rsid w:val="00EE7D7C"/>
    <w:rsid w:val="00F01969"/>
    <w:rsid w:val="00F25D98"/>
    <w:rsid w:val="00F300FB"/>
    <w:rsid w:val="00FB6386"/>
    <w:rsid w:val="01244DB4"/>
    <w:rsid w:val="016D3340"/>
    <w:rsid w:val="02B35170"/>
    <w:rsid w:val="0333201D"/>
    <w:rsid w:val="039F45AA"/>
    <w:rsid w:val="04567C63"/>
    <w:rsid w:val="07D11E70"/>
    <w:rsid w:val="08303AF8"/>
    <w:rsid w:val="08C13269"/>
    <w:rsid w:val="0BA34D2A"/>
    <w:rsid w:val="0C865554"/>
    <w:rsid w:val="0D94032F"/>
    <w:rsid w:val="0E1B45C3"/>
    <w:rsid w:val="0E4661E6"/>
    <w:rsid w:val="110F5177"/>
    <w:rsid w:val="13BC5106"/>
    <w:rsid w:val="15E74E2E"/>
    <w:rsid w:val="1A192A32"/>
    <w:rsid w:val="1A504E08"/>
    <w:rsid w:val="1B4156A2"/>
    <w:rsid w:val="21F02A1B"/>
    <w:rsid w:val="225A6A62"/>
    <w:rsid w:val="23205B44"/>
    <w:rsid w:val="2BC75B8C"/>
    <w:rsid w:val="2D9F474F"/>
    <w:rsid w:val="2F4D187C"/>
    <w:rsid w:val="31384EF8"/>
    <w:rsid w:val="31A01ABC"/>
    <w:rsid w:val="31BF0CC7"/>
    <w:rsid w:val="391563CF"/>
    <w:rsid w:val="39D6533C"/>
    <w:rsid w:val="3B4172A0"/>
    <w:rsid w:val="3BEF1CDB"/>
    <w:rsid w:val="3CC82587"/>
    <w:rsid w:val="42EE7AD4"/>
    <w:rsid w:val="49051529"/>
    <w:rsid w:val="4D1E1EA1"/>
    <w:rsid w:val="4F0F06ED"/>
    <w:rsid w:val="50DC31ED"/>
    <w:rsid w:val="513938A5"/>
    <w:rsid w:val="518D27DA"/>
    <w:rsid w:val="53517ED3"/>
    <w:rsid w:val="543107E3"/>
    <w:rsid w:val="54550E39"/>
    <w:rsid w:val="55022BCB"/>
    <w:rsid w:val="58716E4C"/>
    <w:rsid w:val="5930371D"/>
    <w:rsid w:val="5CE33A04"/>
    <w:rsid w:val="61416640"/>
    <w:rsid w:val="690043BE"/>
    <w:rsid w:val="6A597618"/>
    <w:rsid w:val="6CEA5EF7"/>
    <w:rsid w:val="6D601648"/>
    <w:rsid w:val="6E8D59F3"/>
    <w:rsid w:val="72F001FE"/>
    <w:rsid w:val="75BC596C"/>
    <w:rsid w:val="784E5D7D"/>
    <w:rsid w:val="788A12D2"/>
    <w:rsid w:val="79D32EC9"/>
    <w:rsid w:val="7A9A111E"/>
    <w:rsid w:val="7C06267E"/>
    <w:rsid w:val="7D831E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5"/>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link w:val="84"/>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Zchn"/>
    <w:link w:val="75"/>
    <w:qFormat/>
    <w:uiPriority w:val="0"/>
    <w:rPr>
      <w:rFonts w:ascii="Times New Roman" w:hAnsi="Times New Roman"/>
      <w:lang w:val="en-GB" w:eastAsia="en-US"/>
    </w:rPr>
  </w:style>
  <w:style w:type="character" w:customStyle="1" w:styleId="84">
    <w:name w:val="B2 Char"/>
    <w:link w:val="76"/>
    <w:qFormat/>
    <w:uiPriority w:val="0"/>
    <w:rPr>
      <w:rFonts w:ascii="Times New Roman" w:hAnsi="Times New Roman"/>
      <w:lang w:val="en-GB" w:eastAsia="en-US"/>
    </w:rPr>
  </w:style>
  <w:style w:type="character" w:customStyle="1" w:styleId="85">
    <w:name w:val="Header Char"/>
    <w:link w:val="35"/>
    <w:qFormat/>
    <w:uiPriority w:val="0"/>
    <w:rPr>
      <w:rFonts w:ascii="Arial" w:hAnsi="Arial"/>
      <w:b/>
      <w:sz w:val="18"/>
      <w:lang w:val="en-GB" w:eastAsia="en-US"/>
    </w:rPr>
  </w:style>
  <w:style w:type="paragraph" w:customStyle="1" w:styleId="86">
    <w:name w:val="正文1"/>
    <w:qFormat/>
    <w:uiPriority w:val="0"/>
    <w:pPr>
      <w:spacing w:before="100" w:beforeAutospacing="1" w:after="180"/>
    </w:pPr>
    <w:rPr>
      <w:rFonts w:ascii="Times New Roman" w:hAnsi="Times New Roman" w:eastAsia="宋体" w:cs="Times New Roman"/>
      <w:sz w:val="24"/>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6.bin"/><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8680BB-DD70-42DB-B6F1-65DB93B6494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1283</Words>
  <Characters>7315</Characters>
  <Lines>60</Lines>
  <Paragraphs>17</Paragraphs>
  <TotalTime>9</TotalTime>
  <ScaleCrop>false</ScaleCrop>
  <LinksUpToDate>false</LinksUpToDate>
  <CharactersWithSpaces>8581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2411-12-31T23:00:00Z</cp:lastPrinted>
  <dcterms:modified xsi:type="dcterms:W3CDTF">2019-10-04T10:25:13Z</dcterms:modified>
  <dc:title>MTG_TITLE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